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E87" w:rsidRDefault="00F60E87" w:rsidP="008C573E">
      <w:pPr>
        <w:pStyle w:val="a8"/>
        <w:adjustRightInd/>
        <w:snapToGrid/>
      </w:pPr>
      <w:r>
        <w:t>Supplementary Material</w:t>
      </w:r>
    </w:p>
    <w:p w:rsidR="00F60E87" w:rsidRDefault="00F60E87" w:rsidP="008C573E">
      <w:pPr>
        <w:pStyle w:val="a8"/>
        <w:adjustRightInd/>
        <w:snapToGrid/>
      </w:pPr>
      <w:r>
        <w:rPr>
          <w:rFonts w:eastAsia="宋体" w:hint="eastAsia"/>
        </w:rPr>
        <w:t>Part 1: Data Sources</w:t>
      </w:r>
      <w:r>
        <w:t xml:space="preserve"> </w:t>
      </w:r>
    </w:p>
    <w:p w:rsidR="00F60E87" w:rsidRDefault="00F60E87" w:rsidP="008C573E">
      <w:pPr>
        <w:ind w:firstLine="420"/>
      </w:pPr>
      <w:r>
        <w:rPr>
          <w:rFonts w:hint="eastAsia"/>
        </w:rPr>
        <w:t xml:space="preserve">Our dataset was composed of retrospectively collected public datasets. All included </w:t>
      </w:r>
      <w:r>
        <w:rPr>
          <w:rFonts w:eastAsia="宋体" w:hint="eastAsia"/>
        </w:rPr>
        <w:t>data</w:t>
      </w:r>
      <w:r>
        <w:rPr>
          <w:rFonts w:hint="eastAsia"/>
        </w:rPr>
        <w:t xml:space="preserve"> were </w:t>
      </w:r>
      <w:r>
        <w:rPr>
          <w:rFonts w:eastAsia="宋体" w:hint="eastAsia"/>
        </w:rPr>
        <w:t xml:space="preserve">from </w:t>
      </w:r>
      <w:r>
        <w:rPr>
          <w:rFonts w:hint="eastAsia"/>
        </w:rPr>
        <w:t xml:space="preserve">preoperative patients. The genomic development dataset was collected from </w:t>
      </w:r>
      <w:r>
        <w:t>four</w:t>
      </w:r>
      <w:r>
        <w:rPr>
          <w:rFonts w:hint="eastAsia"/>
        </w:rPr>
        <w:t xml:space="preserve"> publicly available datasets: The Cancer Genome Atlas (TCGA) database (n = 167) (https://portal.gdc.cancer.gov/), the Repository of Molecular Brain Neoplasia Data (REMBRANDT) collection (n = 220)</w:t>
      </w:r>
      <w:r>
        <w:t xml:space="preserve"> </w:t>
      </w:r>
      <w:r>
        <w:rPr>
          <w:rFonts w:hint="eastAsia"/>
        </w:rPr>
        <w:t>[1], the Clinical Proteomic Tumor Analysis</w:t>
      </w:r>
      <w:bookmarkStart w:id="0" w:name="_GoBack"/>
      <w:bookmarkEnd w:id="0"/>
      <w:r>
        <w:rPr>
          <w:rFonts w:hint="eastAsia"/>
        </w:rPr>
        <w:t xml:space="preserve"> Consortium Glioblastoma </w:t>
      </w:r>
      <w:proofErr w:type="spellStart"/>
      <w:r>
        <w:rPr>
          <w:rFonts w:hint="eastAsia"/>
        </w:rPr>
        <w:t>Multiforme</w:t>
      </w:r>
      <w:proofErr w:type="spellEnd"/>
      <w:r>
        <w:rPr>
          <w:rFonts w:hint="eastAsia"/>
        </w:rPr>
        <w:t xml:space="preserve"> (CPTAC-GBM) collection (n = 108), </w:t>
      </w:r>
      <w:r>
        <w:t xml:space="preserve">and </w:t>
      </w:r>
      <w:r>
        <w:rPr>
          <w:rFonts w:hint="eastAsia"/>
        </w:rPr>
        <w:t>the Ivy Glioblastoma Atlas Project (Ivy GAP) collection (n = 37)</w:t>
      </w:r>
      <w:r>
        <w:t xml:space="preserve"> </w:t>
      </w:r>
      <w:r>
        <w:rPr>
          <w:rFonts w:hint="eastAsia"/>
        </w:rPr>
        <w:t>[2]. The genomic testing dataset was collected from the Chinese Glioma Genome Atlas (CGGA) database (n = 225)</w:t>
      </w:r>
      <w:r>
        <w:t xml:space="preserve"> </w:t>
      </w:r>
      <w:r>
        <w:rPr>
          <w:rFonts w:hint="eastAsia"/>
        </w:rPr>
        <w:t xml:space="preserve">[3]. </w:t>
      </w:r>
      <w:r>
        <w:t>For the</w:t>
      </w:r>
      <w:r>
        <w:rPr>
          <w:rFonts w:hint="eastAsia"/>
        </w:rPr>
        <w:t xml:space="preserve"> </w:t>
      </w:r>
      <w:proofErr w:type="spellStart"/>
      <w:r>
        <w:rPr>
          <w:rFonts w:hint="eastAsia"/>
        </w:rPr>
        <w:t>radiogenomic</w:t>
      </w:r>
      <w:proofErr w:type="spellEnd"/>
      <w:r>
        <w:rPr>
          <w:rFonts w:hint="eastAsia"/>
        </w:rPr>
        <w:t xml:space="preserve"> dataset</w:t>
      </w:r>
      <w:r>
        <w:t>, MR</w:t>
      </w:r>
      <w:r>
        <w:rPr>
          <w:rFonts w:hint="eastAsia"/>
        </w:rPr>
        <w:t xml:space="preserve"> images from The Cancer Imaging Archive (TCIA): 30 patients from </w:t>
      </w:r>
      <w:r>
        <w:t xml:space="preserve">the </w:t>
      </w:r>
      <w:r>
        <w:rPr>
          <w:rFonts w:hint="eastAsia"/>
        </w:rPr>
        <w:t>TCGA database</w:t>
      </w:r>
      <w:r>
        <w:t xml:space="preserve"> </w:t>
      </w:r>
      <w:r>
        <w:rPr>
          <w:rFonts w:hint="eastAsia"/>
        </w:rPr>
        <w:t xml:space="preserve">[4], 16 patients from </w:t>
      </w:r>
      <w:r>
        <w:t xml:space="preserve">the </w:t>
      </w:r>
      <w:r>
        <w:rPr>
          <w:rFonts w:hint="eastAsia"/>
        </w:rPr>
        <w:t>REMBRANDT collection</w:t>
      </w:r>
      <w:r>
        <w:t xml:space="preserve"> </w:t>
      </w:r>
      <w:r>
        <w:rPr>
          <w:rFonts w:hint="eastAsia"/>
        </w:rPr>
        <w:t xml:space="preserve">[5], 25 patients from </w:t>
      </w:r>
      <w:r>
        <w:t xml:space="preserve">the </w:t>
      </w:r>
      <w:r>
        <w:rPr>
          <w:rFonts w:hint="eastAsia"/>
        </w:rPr>
        <w:t>CPTAC-GBM collection</w:t>
      </w:r>
      <w:r>
        <w:t xml:space="preserve"> </w:t>
      </w:r>
      <w:r>
        <w:rPr>
          <w:rFonts w:hint="eastAsia"/>
        </w:rPr>
        <w:t xml:space="preserve">[6] and 28 patients from </w:t>
      </w:r>
      <w:r>
        <w:t>the I</w:t>
      </w:r>
      <w:r>
        <w:rPr>
          <w:rFonts w:hint="eastAsia"/>
        </w:rPr>
        <w:t>vy GAP collection</w:t>
      </w:r>
      <w:r>
        <w:t xml:space="preserve"> </w:t>
      </w:r>
      <w:r>
        <w:rPr>
          <w:rFonts w:hint="eastAsia"/>
        </w:rPr>
        <w:t xml:space="preserve">[7]. The image testing datasets were collected from the University of California San Francisco preoperative diffuse glioma </w:t>
      </w:r>
      <w:r>
        <w:t xml:space="preserve">MR images </w:t>
      </w:r>
      <w:r>
        <w:rPr>
          <w:rFonts w:hint="eastAsia"/>
        </w:rPr>
        <w:t>[8].</w:t>
      </w:r>
    </w:p>
    <w:p w:rsidR="00F60E87" w:rsidRDefault="00F60E87" w:rsidP="008C573E">
      <w:pPr>
        <w:ind w:firstLine="420"/>
      </w:pPr>
    </w:p>
    <w:p w:rsidR="00F60E87" w:rsidRDefault="00F60E87" w:rsidP="008C573E">
      <w:pPr>
        <w:ind w:firstLineChars="0" w:firstLine="0"/>
        <w:rPr>
          <w:rFonts w:eastAsia="宋体"/>
          <w:b/>
          <w:bCs/>
          <w:sz w:val="24"/>
          <w:szCs w:val="24"/>
        </w:rPr>
      </w:pPr>
      <w:r>
        <w:rPr>
          <w:rFonts w:eastAsia="宋体" w:hint="eastAsia"/>
          <w:b/>
          <w:bCs/>
          <w:sz w:val="24"/>
          <w:szCs w:val="24"/>
        </w:rPr>
        <w:t>Part 2: Overview of the CAM Method</w:t>
      </w:r>
    </w:p>
    <w:p w:rsidR="00F60E87" w:rsidRDefault="00F60E87" w:rsidP="008C573E">
      <w:pPr>
        <w:ind w:firstLine="420"/>
        <w:rPr>
          <w:rFonts w:eastAsia="宋体"/>
        </w:rPr>
      </w:pPr>
      <w:r>
        <w:rPr>
          <w:rFonts w:eastAsia="宋体" w:hint="eastAsia"/>
        </w:rPr>
        <w:t>The Convex Analysis of Mixtures (CAM) method is an unsupervised computational technique designed to identify subpopulation marker genes directly from the original mixed gene expression data. By decomposing mixed expression profiles into distinct components, this method enhances molecular analyses across various biological contexts. CAM operates on the principle that gene expression levels are linear combinations of subpopulation expressions, with the weight contribution of each subpopulation being proportional to its abundance and specific expression. This relationship can be mathematically represented as X=A</w:t>
      </w:r>
      <w:r>
        <w:rPr>
          <w:rFonts w:eastAsia="宋体" w:hint="eastAsia"/>
        </w:rPr>
        <w:t>×</w:t>
      </w:r>
      <w:r>
        <w:rPr>
          <w:rFonts w:eastAsia="宋体" w:hint="eastAsia"/>
        </w:rPr>
        <w:t xml:space="preserve">S, where X is the original mixed expression matrix, S is the reference matrix representing </w:t>
      </w:r>
      <w:proofErr w:type="spellStart"/>
      <w:r>
        <w:rPr>
          <w:rFonts w:eastAsia="宋体" w:hint="eastAsia"/>
        </w:rPr>
        <w:t>subclone</w:t>
      </w:r>
      <w:proofErr w:type="spellEnd"/>
      <w:r>
        <w:rPr>
          <w:rFonts w:eastAsia="宋体" w:hint="eastAsia"/>
        </w:rPr>
        <w:t>-specific expression, and A is the fraction matrix estimating the constituent proportions.</w:t>
      </w:r>
    </w:p>
    <w:p w:rsidR="00F60E87" w:rsidRDefault="00F60E87" w:rsidP="008C573E">
      <w:pPr>
        <w:ind w:firstLine="420"/>
        <w:rPr>
          <w:rFonts w:eastAsia="宋体"/>
        </w:rPr>
      </w:pPr>
      <w:r>
        <w:rPr>
          <w:rFonts w:eastAsia="宋体" w:hint="eastAsia"/>
        </w:rPr>
        <w:t>Assume that the gene expression profile is composed of a set of J (</w:t>
      </w:r>
      <w:r>
        <w:rPr>
          <w:rFonts w:eastAsia="宋体" w:hint="eastAsia"/>
        </w:rPr>
        <w:t>≥</w:t>
      </w:r>
      <w:r>
        <w:rPr>
          <w:rFonts w:eastAsia="宋体" w:hint="eastAsia"/>
        </w:rPr>
        <w:t xml:space="preserve">K) heterogeneous samples of varying composition of unknown </w:t>
      </w:r>
      <w:proofErr w:type="spellStart"/>
      <w:r>
        <w:rPr>
          <w:rFonts w:eastAsia="宋体" w:hint="eastAsia"/>
        </w:rPr>
        <w:t>subclones</w:t>
      </w:r>
      <w:proofErr w:type="spellEnd"/>
      <w:r>
        <w:rPr>
          <w:rFonts w:eastAsia="宋体" w:hint="eastAsia"/>
        </w:rPr>
        <w:t xml:space="preserve">. Each sample </w:t>
      </w:r>
      <w:proofErr w:type="spellStart"/>
      <w:r>
        <w:rPr>
          <w:rFonts w:eastAsia="宋体" w:hint="eastAsia"/>
        </w:rPr>
        <w:t>i</w:t>
      </w:r>
      <w:proofErr w:type="spellEnd"/>
      <w:r>
        <w:rPr>
          <w:rFonts w:eastAsia="宋体" w:hint="eastAsia"/>
        </w:rPr>
        <w:t xml:space="preserve"> (x(</w:t>
      </w:r>
      <w:proofErr w:type="spellStart"/>
      <w:r>
        <w:rPr>
          <w:rFonts w:eastAsia="宋体" w:hint="eastAsia"/>
        </w:rPr>
        <w:t>i</w:t>
      </w:r>
      <w:proofErr w:type="spellEnd"/>
      <w:r>
        <w:rPr>
          <w:rFonts w:eastAsia="宋体" w:hint="eastAsia"/>
        </w:rPr>
        <w:t xml:space="preserve">)) is represented as a non-negative linear combination of the </w:t>
      </w:r>
      <w:proofErr w:type="spellStart"/>
      <w:r>
        <w:rPr>
          <w:rFonts w:eastAsia="宋体" w:hint="eastAsia"/>
        </w:rPr>
        <w:t>subclone</w:t>
      </w:r>
      <w:proofErr w:type="spellEnd"/>
      <w:r>
        <w:rPr>
          <w:rFonts w:eastAsia="宋体" w:hint="eastAsia"/>
        </w:rPr>
        <w:t xml:space="preserve">-specific components </w:t>
      </w:r>
      <w:proofErr w:type="spellStart"/>
      <w:r>
        <w:rPr>
          <w:rFonts w:eastAsia="宋体" w:hint="eastAsia"/>
        </w:rPr>
        <w:t>s</w:t>
      </w:r>
      <w:r>
        <w:rPr>
          <w:rFonts w:eastAsia="宋体" w:hint="eastAsia"/>
          <w:vertAlign w:val="subscript"/>
        </w:rPr>
        <w:t>k</w:t>
      </w:r>
      <w:proofErr w:type="spellEnd"/>
      <w:r>
        <w:rPr>
          <w:rFonts w:eastAsia="宋体" w:hint="eastAsia"/>
        </w:rPr>
        <w:t xml:space="preserve">, with each component weighted by the relative proportion of the </w:t>
      </w:r>
      <w:proofErr w:type="spellStart"/>
      <w:r>
        <w:rPr>
          <w:rFonts w:eastAsia="宋体" w:hint="eastAsia"/>
        </w:rPr>
        <w:t>subclone</w:t>
      </w:r>
      <w:proofErr w:type="spellEnd"/>
      <w:r>
        <w:rPr>
          <w:rFonts w:eastAsia="宋体" w:hint="eastAsia"/>
        </w:rPr>
        <w:t xml:space="preserve"> </w:t>
      </w:r>
      <w:proofErr w:type="spellStart"/>
      <w:r>
        <w:rPr>
          <w:rFonts w:eastAsia="宋体" w:hint="eastAsia"/>
        </w:rPr>
        <w:t>a</w:t>
      </w:r>
      <w:r>
        <w:rPr>
          <w:rFonts w:eastAsia="宋体" w:hint="eastAsia"/>
          <w:vertAlign w:val="subscript"/>
        </w:rPr>
        <w:t>j</w:t>
      </w:r>
      <w:proofErr w:type="spellEnd"/>
      <w:r>
        <w:rPr>
          <w:rFonts w:eastAsia="宋体" w:hint="eastAsia"/>
        </w:rPr>
        <w:t>(</w:t>
      </w:r>
      <w:proofErr w:type="spellStart"/>
      <w:r>
        <w:rPr>
          <w:rFonts w:eastAsia="宋体" w:hint="eastAsia"/>
        </w:rPr>
        <w:t>i</w:t>
      </w:r>
      <w:proofErr w:type="spellEnd"/>
      <w:r>
        <w:rPr>
          <w:rFonts w:eastAsia="宋体" w:hint="eastAsia"/>
        </w:rPr>
        <w:t>) present in that sample.</w:t>
      </w:r>
    </w:p>
    <w:p w:rsidR="00F60E87" w:rsidRDefault="00916FB2" w:rsidP="008C573E">
      <w:pPr>
        <w:ind w:firstLine="480"/>
        <w:rPr>
          <w:rFonts w:eastAsia="宋体"/>
        </w:rPr>
      </w:pPr>
      <m:oMathPara>
        <m:oMath>
          <m:eqArr>
            <m:eqArrPr>
              <m:maxDist m:val="1"/>
              <m:ctrlPr>
                <w:rPr>
                  <w:rFonts w:ascii="Cambria Math" w:hAnsi="Cambria Math"/>
                  <w:sz w:val="24"/>
                  <w:szCs w:val="32"/>
                </w:rPr>
              </m:ctrlPr>
            </m:eqArrPr>
            <m:e>
              <m:r>
                <m:rPr>
                  <m:sty m:val="p"/>
                </m:rPr>
                <w:rPr>
                  <w:rFonts w:ascii="Cambria Math" w:hAnsi="Cambria Math" w:hint="eastAsia"/>
                  <w:sz w:val="24"/>
                  <w:szCs w:val="32"/>
                </w:rPr>
                <m:t>x</m:t>
              </m:r>
              <m:d>
                <m:dPr>
                  <m:ctrlPr>
                    <w:rPr>
                      <w:rFonts w:ascii="Cambria Math" w:hAnsi="Cambria Math"/>
                      <w:sz w:val="24"/>
                      <w:szCs w:val="32"/>
                    </w:rPr>
                  </m:ctrlPr>
                </m:dPr>
                <m:e>
                  <m:r>
                    <m:rPr>
                      <m:sty m:val="p"/>
                    </m:rPr>
                    <w:rPr>
                      <w:rFonts w:ascii="Cambria Math" w:hAnsi="Cambria Math"/>
                      <w:sz w:val="24"/>
                      <w:szCs w:val="32"/>
                    </w:rPr>
                    <m:t>i</m:t>
                  </m:r>
                </m:e>
              </m:d>
              <m:r>
                <m:rPr>
                  <m:sty m:val="p"/>
                </m:rPr>
                <w:rPr>
                  <w:rFonts w:ascii="Cambria Math" w:hAnsi="Cambria Math"/>
                  <w:sz w:val="24"/>
                  <w:szCs w:val="32"/>
                </w:rPr>
                <m:t>=</m:t>
              </m:r>
              <m:d>
                <m:dPr>
                  <m:begChr m:val="{"/>
                  <m:endChr m:val="}"/>
                  <m:ctrlPr>
                    <w:rPr>
                      <w:rFonts w:ascii="Cambria Math" w:hAnsi="Cambria Math"/>
                      <w:sz w:val="24"/>
                      <w:szCs w:val="32"/>
                    </w:rPr>
                  </m:ctrlPr>
                </m:dPr>
                <m:e>
                  <m:nary>
                    <m:naryPr>
                      <m:chr m:val="∑"/>
                      <m:limLoc m:val="undOvr"/>
                      <m:ctrlPr>
                        <w:rPr>
                          <w:rFonts w:ascii="Cambria Math" w:hAnsi="Cambria Math"/>
                          <w:sz w:val="24"/>
                          <w:szCs w:val="32"/>
                        </w:rPr>
                      </m:ctrlPr>
                    </m:naryPr>
                    <m:sub>
                      <m:r>
                        <m:rPr>
                          <m:sty m:val="p"/>
                        </m:rPr>
                        <w:rPr>
                          <w:rFonts w:ascii="Cambria Math" w:hAnsi="Cambria Math"/>
                          <w:sz w:val="24"/>
                          <w:szCs w:val="32"/>
                        </w:rPr>
                        <m:t>j=1</m:t>
                      </m:r>
                    </m:sub>
                    <m:sup>
                      <m:r>
                        <m:rPr>
                          <m:sty m:val="p"/>
                        </m:rPr>
                        <w:rPr>
                          <w:rFonts w:ascii="Cambria Math" w:hAnsi="Cambria Math"/>
                          <w:sz w:val="24"/>
                          <w:szCs w:val="32"/>
                        </w:rPr>
                        <m:t>J</m:t>
                      </m:r>
                    </m:sup>
                    <m:e>
                      <m:sSub>
                        <m:sSubPr>
                          <m:ctrlPr>
                            <w:rPr>
                              <w:rFonts w:ascii="Cambria Math" w:hAnsi="Cambria Math"/>
                              <w:sz w:val="24"/>
                              <w:szCs w:val="32"/>
                            </w:rPr>
                          </m:ctrlPr>
                        </m:sSubPr>
                        <m:e>
                          <m:r>
                            <m:rPr>
                              <m:sty m:val="p"/>
                            </m:rPr>
                            <w:rPr>
                              <w:rFonts w:ascii="Cambria Math" w:hAnsi="Cambria Math"/>
                              <w:sz w:val="24"/>
                              <w:szCs w:val="32"/>
                            </w:rPr>
                            <m:t>a</m:t>
                          </m:r>
                        </m:e>
                        <m:sub>
                          <m:r>
                            <m:rPr>
                              <m:sty m:val="p"/>
                            </m:rPr>
                            <w:rPr>
                              <w:rFonts w:ascii="Cambria Math" w:hAnsi="Cambria Math"/>
                              <w:sz w:val="24"/>
                              <w:szCs w:val="32"/>
                            </w:rPr>
                            <m:t>j</m:t>
                          </m:r>
                        </m:sub>
                      </m:sSub>
                      <m:r>
                        <m:rPr>
                          <m:sty m:val="p"/>
                        </m:rPr>
                        <w:rPr>
                          <w:rFonts w:ascii="Cambria Math" w:hAnsi="Cambria Math"/>
                          <w:sz w:val="24"/>
                          <w:szCs w:val="32"/>
                        </w:rPr>
                        <m:t>(i)</m:t>
                      </m:r>
                      <m:sSub>
                        <m:sSubPr>
                          <m:ctrlPr>
                            <w:rPr>
                              <w:rFonts w:ascii="Cambria Math" w:hAnsi="Cambria Math"/>
                              <w:sz w:val="24"/>
                              <w:szCs w:val="32"/>
                            </w:rPr>
                          </m:ctrlPr>
                        </m:sSubPr>
                        <m:e>
                          <m:r>
                            <m:rPr>
                              <m:sty m:val="p"/>
                            </m:rPr>
                            <w:rPr>
                              <w:rFonts w:ascii="Cambria Math" w:hAnsi="Cambria Math"/>
                              <w:sz w:val="24"/>
                              <w:szCs w:val="32"/>
                            </w:rPr>
                            <m:t>s</m:t>
                          </m:r>
                        </m:e>
                        <m:sub>
                          <m:r>
                            <m:rPr>
                              <m:sty m:val="p"/>
                            </m:rPr>
                            <w:rPr>
                              <w:rFonts w:ascii="Cambria Math" w:hAnsi="Cambria Math"/>
                              <w:sz w:val="24"/>
                              <w:szCs w:val="32"/>
                            </w:rPr>
                            <m:t>j</m:t>
                          </m:r>
                        </m:sub>
                      </m:sSub>
                    </m:e>
                  </m:nary>
                </m:e>
              </m:d>
              <m:ctrlPr>
                <w:rPr>
                  <w:rFonts w:ascii="Cambria Math" w:hAnsi="Cambria Math"/>
                  <w:i/>
                  <w:sz w:val="24"/>
                  <w:szCs w:val="32"/>
                </w:rPr>
              </m:ctrlPr>
            </m:e>
          </m:eqArr>
        </m:oMath>
      </m:oMathPara>
    </w:p>
    <w:p w:rsidR="00F60E87" w:rsidRDefault="00F60E87" w:rsidP="008C573E">
      <w:pPr>
        <w:ind w:firstLine="420"/>
        <w:rPr>
          <w:rFonts w:eastAsia="宋体"/>
        </w:rPr>
      </w:pPr>
      <w:r>
        <w:rPr>
          <w:rFonts w:eastAsia="宋体" w:hint="eastAsia"/>
        </w:rPr>
        <w:t xml:space="preserve">where N is the number of genes, </w:t>
      </w:r>
      <w:proofErr w:type="spellStart"/>
      <w:r>
        <w:rPr>
          <w:rFonts w:eastAsia="宋体" w:hint="eastAsia"/>
        </w:rPr>
        <w:t>a</w:t>
      </w:r>
      <w:r>
        <w:rPr>
          <w:rFonts w:eastAsia="宋体" w:hint="eastAsia"/>
          <w:vertAlign w:val="subscript"/>
        </w:rPr>
        <w:t>j</w:t>
      </w:r>
      <w:proofErr w:type="spellEnd"/>
      <w:r>
        <w:rPr>
          <w:rFonts w:eastAsia="宋体" w:hint="eastAsia"/>
        </w:rPr>
        <w:t xml:space="preserve"> is the vector notation of the expression values of matrix A, and J is the number of </w:t>
      </w:r>
      <w:proofErr w:type="spellStart"/>
      <w:r>
        <w:rPr>
          <w:rFonts w:eastAsia="宋体" w:hint="eastAsia"/>
        </w:rPr>
        <w:t>subclones</w:t>
      </w:r>
      <w:proofErr w:type="spellEnd"/>
      <w:r>
        <w:rPr>
          <w:rFonts w:eastAsia="宋体" w:hint="eastAsia"/>
        </w:rPr>
        <w:t>.</w:t>
      </w:r>
    </w:p>
    <w:p w:rsidR="00F60E87" w:rsidRDefault="00F60E87" w:rsidP="008C573E">
      <w:pPr>
        <w:ind w:firstLine="420"/>
        <w:rPr>
          <w:rFonts w:eastAsia="宋体"/>
        </w:rPr>
      </w:pPr>
      <w:r>
        <w:rPr>
          <w:rFonts w:eastAsia="宋体" w:hint="eastAsia"/>
        </w:rPr>
        <w:t xml:space="preserve">To identify gene </w:t>
      </w:r>
      <w:proofErr w:type="spellStart"/>
      <w:r>
        <w:rPr>
          <w:rFonts w:eastAsia="宋体" w:hint="eastAsia"/>
        </w:rPr>
        <w:t>subclones</w:t>
      </w:r>
      <w:proofErr w:type="spellEnd"/>
      <w:r>
        <w:rPr>
          <w:rFonts w:eastAsia="宋体" w:hint="eastAsia"/>
        </w:rPr>
        <w:t>, first, affinity propagation clustering and expectation maximization mixture model fitting are employed to group genes into an optimal number of representative and robust clusters. Second, the CAM method is applied to identify the vertices of the convex set. Specifically, CAM locates the gene clusters that are spatially positioned at the corners of the clustered pixel time series scatter simplex by utilizing a minimum error margin convex hull for data fitting. Third, the most probable J vertices are identified by minimizing the sum of the margins between the convex hull and the remaining exterior cluster centers. This optimization process ensures that the vertices accurately represent the key features of the data distribution.</w:t>
      </w:r>
    </w:p>
    <w:p w:rsidR="00F60E87" w:rsidRDefault="00F60E87" w:rsidP="008C573E">
      <w:pPr>
        <w:ind w:firstLine="420"/>
        <w:rPr>
          <w:rFonts w:eastAsia="宋体"/>
        </w:rPr>
      </w:pPr>
      <w:r>
        <w:rPr>
          <w:rFonts w:eastAsia="宋体" w:hint="eastAsia"/>
        </w:rPr>
        <w:lastRenderedPageBreak/>
        <w:t xml:space="preserve">The gene expression data for each sample can be decomposed into weighted linear combinations of the latent gene expression patterns associated with specific genomic </w:t>
      </w:r>
      <w:proofErr w:type="spellStart"/>
      <w:r>
        <w:rPr>
          <w:rFonts w:eastAsia="宋体" w:hint="eastAsia"/>
        </w:rPr>
        <w:t>subclones</w:t>
      </w:r>
      <w:proofErr w:type="spellEnd"/>
      <w:r>
        <w:rPr>
          <w:rFonts w:eastAsia="宋体" w:hint="eastAsia"/>
        </w:rPr>
        <w:t xml:space="preserve"> and their corresponding proportions. The </w:t>
      </w:r>
      <w:proofErr w:type="spellStart"/>
      <w:r>
        <w:rPr>
          <w:rFonts w:eastAsia="宋体" w:hint="eastAsia"/>
        </w:rPr>
        <w:t>subclones</w:t>
      </w:r>
      <w:proofErr w:type="spellEnd"/>
      <w:r>
        <w:rPr>
          <w:rFonts w:eastAsia="宋体" w:hint="eastAsia"/>
        </w:rPr>
        <w:t xml:space="preserve"> are identified based on the genes assigned to the gene clusters located at the vertices. The model is optimized by selecting the best number of </w:t>
      </w:r>
      <w:proofErr w:type="spellStart"/>
      <w:r>
        <w:rPr>
          <w:rFonts w:eastAsia="宋体" w:hint="eastAsia"/>
        </w:rPr>
        <w:t>subclones</w:t>
      </w:r>
      <w:proofErr w:type="spellEnd"/>
      <w:r>
        <w:rPr>
          <w:rFonts w:eastAsia="宋体" w:hint="eastAsia"/>
        </w:rPr>
        <w:t>, K, which is determined using the Minimum Description Length (MDL) principle.</w:t>
      </w:r>
    </w:p>
    <w:p w:rsidR="00F60E87" w:rsidRDefault="00F60E87" w:rsidP="008C573E">
      <w:pPr>
        <w:pStyle w:val="Text"/>
        <w:ind w:firstLine="420"/>
        <w:rPr>
          <w:rFonts w:eastAsia="宋体"/>
        </w:rPr>
      </w:pPr>
      <w:r>
        <w:rPr>
          <w:rFonts w:eastAsia="宋体" w:hint="eastAsia"/>
        </w:rPr>
        <w:t>MDL is a model selection principle that aims to balance model complexity and data fitting by minimizing the total description length. This total description length is composed of two parts: the length of the description of the model itself (model complexity) and the length of the description of the data given the model (data likelihood). The MDL method uses a stochastic algorithm to obtain approximate maximum-likelihood estimates of model parameters and applies Monte Carlo integration to determine the description length [9].</w:t>
      </w:r>
    </w:p>
    <w:p w:rsidR="00F60E87" w:rsidRDefault="00F60E87" w:rsidP="008C573E">
      <w:pPr>
        <w:pStyle w:val="Text"/>
        <w:ind w:firstLine="420"/>
        <w:rPr>
          <w:rFonts w:eastAsia="宋体"/>
        </w:rPr>
      </w:pPr>
      <w:r>
        <w:rPr>
          <w:rFonts w:eastAsia="宋体" w:hint="eastAsia"/>
        </w:rPr>
        <w:t xml:space="preserve">To address noise in high-dimensional gene expression data, genes with signal intensities (vector norms) below 5% or above 95% of the mean are first filtered out, as these are unreliable. Next, affinity propagation clustering (APC) is used to aggregate gene vectors into representative clusters. APC is an initialization-free method that recursively exchanges messages between gene vectors to identify high-quality exemplars and clusters. </w:t>
      </w:r>
    </w:p>
    <w:p w:rsidR="00A73E39" w:rsidRDefault="00A73E39" w:rsidP="008C573E">
      <w:pPr>
        <w:ind w:firstLine="420"/>
        <w:rPr>
          <w:rFonts w:eastAsiaTheme="minorEastAsia"/>
        </w:rPr>
      </w:pPr>
    </w:p>
    <w:p w:rsidR="008C573E" w:rsidRDefault="008C573E" w:rsidP="008C573E">
      <w:pPr>
        <w:pStyle w:val="Backmatter"/>
        <w:adjustRightInd/>
        <w:snapToGrid/>
        <w:spacing w:before="182" w:after="182"/>
        <w:rPr>
          <w:rFonts w:eastAsiaTheme="minorEastAsia"/>
        </w:rPr>
      </w:pPr>
      <w:r w:rsidRPr="00571710">
        <w:t>References</w:t>
      </w:r>
    </w:p>
    <w:p w:rsidR="008C573E" w:rsidRPr="008C573E" w:rsidRDefault="008C573E" w:rsidP="008C573E">
      <w:pPr>
        <w:pStyle w:val="Reference"/>
        <w:ind w:left="360" w:hanging="360"/>
      </w:pPr>
      <w:r w:rsidRPr="008C573E">
        <w:t xml:space="preserve">[1] </w:t>
      </w:r>
      <w:proofErr w:type="spellStart"/>
      <w:r w:rsidRPr="008C573E">
        <w:t>Madhavan</w:t>
      </w:r>
      <w:proofErr w:type="spellEnd"/>
      <w:r w:rsidRPr="008C573E">
        <w:t xml:space="preserve"> S, </w:t>
      </w:r>
      <w:proofErr w:type="spellStart"/>
      <w:r w:rsidRPr="008C573E">
        <w:t>Zenklusen</w:t>
      </w:r>
      <w:proofErr w:type="spellEnd"/>
      <w:r w:rsidRPr="008C573E">
        <w:t xml:space="preserve"> JC, </w:t>
      </w:r>
      <w:proofErr w:type="spellStart"/>
      <w:r w:rsidRPr="008C573E">
        <w:t>Kotliarov</w:t>
      </w:r>
      <w:proofErr w:type="spellEnd"/>
      <w:r w:rsidRPr="008C573E">
        <w:t xml:space="preserve"> Y, </w:t>
      </w:r>
      <w:proofErr w:type="spellStart"/>
      <w:r w:rsidRPr="008C573E">
        <w:t>Sahni</w:t>
      </w:r>
      <w:proofErr w:type="spellEnd"/>
      <w:r w:rsidRPr="008C573E">
        <w:t xml:space="preserve"> H, Fine HA, </w:t>
      </w:r>
      <w:proofErr w:type="spellStart"/>
      <w:r w:rsidRPr="008C573E">
        <w:t>Buetow</w:t>
      </w:r>
      <w:proofErr w:type="spellEnd"/>
      <w:r w:rsidRPr="008C573E">
        <w:t xml:space="preserve"> K. Rembrandt: helping personalized medicine become a reality through integrative translational research. Molecular Cancer Research: MCR. 2009; 7: 157–167. https://doi.org/10.1158/1541-7786.MCR-08-0435.</w:t>
      </w:r>
    </w:p>
    <w:p w:rsidR="008C573E" w:rsidRPr="008C573E" w:rsidRDefault="008C573E" w:rsidP="008C573E">
      <w:pPr>
        <w:pStyle w:val="Reference"/>
        <w:ind w:left="360" w:hanging="360"/>
      </w:pPr>
      <w:r w:rsidRPr="008C573E">
        <w:t xml:space="preserve">[2] </w:t>
      </w:r>
      <w:proofErr w:type="spellStart"/>
      <w:r w:rsidRPr="008C573E">
        <w:t>Puchalski</w:t>
      </w:r>
      <w:proofErr w:type="spellEnd"/>
      <w:r w:rsidRPr="008C573E">
        <w:t xml:space="preserve"> RB, Shah N, Miller J, </w:t>
      </w:r>
      <w:proofErr w:type="spellStart"/>
      <w:r w:rsidRPr="008C573E">
        <w:t>Dalley</w:t>
      </w:r>
      <w:proofErr w:type="spellEnd"/>
      <w:r w:rsidRPr="008C573E">
        <w:t xml:space="preserve"> R, Nomura SR, Yoon JG, </w:t>
      </w:r>
      <w:r w:rsidRPr="008C573E">
        <w:rPr>
          <w:i/>
          <w:iCs/>
        </w:rPr>
        <w:t>et al</w:t>
      </w:r>
      <w:r w:rsidRPr="008C573E">
        <w:t>. An anatomic transcriptional atlas of human glioblastoma. Science (New York, N.Y.). 2018; 360: 660–663. https://doi.org/10.1126/science.aaf2666.</w:t>
      </w:r>
    </w:p>
    <w:p w:rsidR="008C573E" w:rsidRPr="008C573E" w:rsidRDefault="008C573E" w:rsidP="008C573E">
      <w:pPr>
        <w:pStyle w:val="Reference"/>
        <w:ind w:left="360" w:hanging="360"/>
      </w:pPr>
      <w:r w:rsidRPr="008C573E">
        <w:t>[3] Zhao Z, Zhang KN, Wang Q, Li G, Zeng F, Zhang Y, </w:t>
      </w:r>
      <w:r w:rsidRPr="008C573E">
        <w:rPr>
          <w:i/>
          <w:iCs/>
        </w:rPr>
        <w:t>et al</w:t>
      </w:r>
      <w:r w:rsidRPr="008C573E">
        <w:t>. Chinese Glioma Genome Atlas (CGGA): A Comprehensive Resource with Functional Genomic Data from Chinese Glioma Patients. Genomics, Proteomics &amp; Bioinformatics. 2021; 19: 1–12. https://doi.org/10.1016/j.gpb.2020.10.005.</w:t>
      </w:r>
    </w:p>
    <w:p w:rsidR="008C573E" w:rsidRPr="008C573E" w:rsidRDefault="008C573E" w:rsidP="008C573E">
      <w:pPr>
        <w:pStyle w:val="Reference"/>
        <w:ind w:left="360" w:hanging="360"/>
        <w:rPr>
          <w:rFonts w:eastAsia="微软雅黑"/>
          <w:szCs w:val="24"/>
          <w:lang w:val="en-GB"/>
        </w:rPr>
      </w:pPr>
      <w:r w:rsidRPr="008C573E">
        <w:rPr>
          <w:rFonts w:eastAsia="微软雅黑"/>
          <w:szCs w:val="24"/>
          <w:lang w:val="en-GB"/>
        </w:rPr>
        <w:t xml:space="preserve">[4] </w:t>
      </w:r>
      <w:proofErr w:type="spellStart"/>
      <w:r w:rsidRPr="008C573E">
        <w:rPr>
          <w:rFonts w:eastAsia="微软雅黑"/>
          <w:szCs w:val="24"/>
          <w:lang w:val="en-GB"/>
        </w:rPr>
        <w:t>Scarpace</w:t>
      </w:r>
      <w:proofErr w:type="spellEnd"/>
      <w:r w:rsidRPr="008C573E">
        <w:rPr>
          <w:rFonts w:eastAsia="微软雅黑"/>
          <w:szCs w:val="24"/>
          <w:lang w:val="en-GB"/>
        </w:rPr>
        <w:t xml:space="preserve"> L, </w:t>
      </w:r>
      <w:proofErr w:type="spellStart"/>
      <w:r w:rsidRPr="008C573E">
        <w:rPr>
          <w:rFonts w:eastAsia="微软雅黑"/>
          <w:szCs w:val="24"/>
          <w:lang w:val="en-GB"/>
        </w:rPr>
        <w:t>Mikkelsen</w:t>
      </w:r>
      <w:proofErr w:type="spellEnd"/>
      <w:r w:rsidRPr="008C573E">
        <w:rPr>
          <w:rFonts w:eastAsia="微软雅黑"/>
          <w:szCs w:val="24"/>
          <w:lang w:val="en-GB"/>
        </w:rPr>
        <w:t xml:space="preserve"> T, Cha S, Rao S, </w:t>
      </w:r>
      <w:proofErr w:type="spellStart"/>
      <w:r w:rsidRPr="008C573E">
        <w:rPr>
          <w:rFonts w:eastAsia="微软雅黑"/>
          <w:szCs w:val="24"/>
          <w:lang w:val="en-GB"/>
        </w:rPr>
        <w:t>Tekchandani</w:t>
      </w:r>
      <w:proofErr w:type="spellEnd"/>
      <w:r w:rsidRPr="008C573E">
        <w:rPr>
          <w:rFonts w:eastAsia="微软雅黑"/>
          <w:szCs w:val="24"/>
          <w:lang w:val="en-GB"/>
        </w:rPr>
        <w:t xml:space="preserve"> S, </w:t>
      </w:r>
      <w:proofErr w:type="spellStart"/>
      <w:r w:rsidRPr="008C573E">
        <w:rPr>
          <w:rFonts w:eastAsia="微软雅黑"/>
          <w:szCs w:val="24"/>
          <w:lang w:val="en-GB"/>
        </w:rPr>
        <w:t>Gutman</w:t>
      </w:r>
      <w:proofErr w:type="spellEnd"/>
      <w:r w:rsidRPr="008C573E">
        <w:rPr>
          <w:rFonts w:eastAsia="微软雅黑"/>
          <w:szCs w:val="24"/>
          <w:lang w:val="en-GB"/>
        </w:rPr>
        <w:t xml:space="preserve"> D, </w:t>
      </w:r>
      <w:r w:rsidRPr="008C573E">
        <w:rPr>
          <w:rFonts w:eastAsia="微软雅黑"/>
          <w:i/>
          <w:szCs w:val="24"/>
          <w:lang w:val="en-GB"/>
        </w:rPr>
        <w:t>et al</w:t>
      </w:r>
      <w:r w:rsidRPr="008C573E">
        <w:rPr>
          <w:rFonts w:eastAsia="微软雅黑"/>
          <w:szCs w:val="24"/>
          <w:lang w:val="en-GB"/>
        </w:rPr>
        <w:t xml:space="preserve">. The Cancer Genome Atlas Glioblastoma </w:t>
      </w:r>
      <w:proofErr w:type="spellStart"/>
      <w:r w:rsidRPr="008C573E">
        <w:rPr>
          <w:rFonts w:eastAsia="微软雅黑"/>
          <w:szCs w:val="24"/>
          <w:lang w:val="en-GB"/>
        </w:rPr>
        <w:t>Multiforme</w:t>
      </w:r>
      <w:proofErr w:type="spellEnd"/>
      <w:r w:rsidRPr="008C573E">
        <w:rPr>
          <w:rFonts w:eastAsia="微软雅黑"/>
          <w:szCs w:val="24"/>
          <w:lang w:val="en-GB"/>
        </w:rPr>
        <w:t xml:space="preserve"> Collection (TCGA-GBM) (Version 5) [Data set]. The Cancer Imaging Archive. 2016. </w:t>
      </w:r>
    </w:p>
    <w:p w:rsidR="008C573E" w:rsidRPr="008C573E" w:rsidRDefault="008C573E" w:rsidP="008C573E">
      <w:pPr>
        <w:pStyle w:val="Reference"/>
        <w:ind w:left="360" w:hanging="360"/>
        <w:rPr>
          <w:rFonts w:eastAsia="微软雅黑"/>
          <w:szCs w:val="24"/>
          <w:lang w:val="en-GB"/>
        </w:rPr>
      </w:pPr>
      <w:r w:rsidRPr="008C573E">
        <w:rPr>
          <w:rFonts w:eastAsia="微软雅黑"/>
          <w:szCs w:val="24"/>
          <w:lang w:val="en-GB"/>
        </w:rPr>
        <w:t xml:space="preserve">[5] </w:t>
      </w:r>
      <w:proofErr w:type="spellStart"/>
      <w:r w:rsidRPr="008C573E">
        <w:rPr>
          <w:rFonts w:eastAsia="微软雅黑"/>
          <w:szCs w:val="24"/>
          <w:lang w:val="en-GB"/>
        </w:rPr>
        <w:t>Scarpace</w:t>
      </w:r>
      <w:proofErr w:type="spellEnd"/>
      <w:r w:rsidRPr="008C573E">
        <w:rPr>
          <w:rFonts w:eastAsia="微软雅黑"/>
          <w:szCs w:val="24"/>
          <w:lang w:val="en-GB"/>
        </w:rPr>
        <w:t xml:space="preserve"> L, Flanders AE, Jain R, </w:t>
      </w:r>
      <w:proofErr w:type="spellStart"/>
      <w:r w:rsidRPr="008C573E">
        <w:rPr>
          <w:rFonts w:eastAsia="微软雅黑"/>
          <w:szCs w:val="24"/>
          <w:lang w:val="en-GB"/>
        </w:rPr>
        <w:t>Mikkelsen</w:t>
      </w:r>
      <w:proofErr w:type="spellEnd"/>
      <w:r w:rsidRPr="008C573E">
        <w:rPr>
          <w:rFonts w:eastAsia="微软雅黑"/>
          <w:szCs w:val="24"/>
          <w:lang w:val="en-GB"/>
        </w:rPr>
        <w:t xml:space="preserve"> T, Andrews DW. Data </w:t>
      </w:r>
      <w:proofErr w:type="gramStart"/>
      <w:r w:rsidRPr="008C573E">
        <w:rPr>
          <w:rFonts w:eastAsia="微软雅黑"/>
          <w:szCs w:val="24"/>
          <w:lang w:val="en-GB"/>
        </w:rPr>
        <w:t>From</w:t>
      </w:r>
      <w:proofErr w:type="gramEnd"/>
      <w:r w:rsidRPr="008C573E">
        <w:rPr>
          <w:rFonts w:eastAsia="微软雅黑"/>
          <w:szCs w:val="24"/>
          <w:lang w:val="en-GB"/>
        </w:rPr>
        <w:t xml:space="preserve"> REMBRANDT [Data set]. The Cancer Imaging Archive. 2019. </w:t>
      </w:r>
    </w:p>
    <w:p w:rsidR="008C573E" w:rsidRPr="008C573E" w:rsidRDefault="008C573E" w:rsidP="008C573E">
      <w:pPr>
        <w:pStyle w:val="Reference"/>
        <w:ind w:left="360" w:hanging="360"/>
        <w:rPr>
          <w:rFonts w:eastAsia="微软雅黑"/>
          <w:szCs w:val="24"/>
          <w:lang w:val="en-GB"/>
        </w:rPr>
      </w:pPr>
      <w:r w:rsidRPr="008C573E">
        <w:rPr>
          <w:rFonts w:eastAsia="微软雅黑"/>
          <w:szCs w:val="24"/>
          <w:lang w:val="en-GB"/>
        </w:rPr>
        <w:t xml:space="preserve">[6] (CPTAC) NCICPTAC. The Clinical Proteomic </w:t>
      </w:r>
      <w:proofErr w:type="spellStart"/>
      <w:r w:rsidRPr="008C573E">
        <w:rPr>
          <w:rFonts w:eastAsia="微软雅黑"/>
          <w:szCs w:val="24"/>
          <w:lang w:val="en-GB"/>
        </w:rPr>
        <w:t>Tumor</w:t>
      </w:r>
      <w:proofErr w:type="spellEnd"/>
      <w:r w:rsidRPr="008C573E">
        <w:rPr>
          <w:rFonts w:eastAsia="微软雅黑"/>
          <w:szCs w:val="24"/>
          <w:lang w:val="en-GB"/>
        </w:rPr>
        <w:t xml:space="preserve"> Analysis Consortium Glioblastoma </w:t>
      </w:r>
      <w:proofErr w:type="spellStart"/>
      <w:r w:rsidRPr="008C573E">
        <w:rPr>
          <w:rFonts w:eastAsia="微软雅黑"/>
          <w:szCs w:val="24"/>
          <w:lang w:val="en-GB"/>
        </w:rPr>
        <w:t>Multiforme</w:t>
      </w:r>
      <w:proofErr w:type="spellEnd"/>
      <w:r w:rsidRPr="008C573E">
        <w:rPr>
          <w:rFonts w:eastAsia="微软雅黑"/>
          <w:szCs w:val="24"/>
          <w:lang w:val="en-GB"/>
        </w:rPr>
        <w:t xml:space="preserve"> Collection (CPTAC-GBM) (Version 16) [dataset]. The Cancer Imaging Archive. 2018. </w:t>
      </w:r>
    </w:p>
    <w:p w:rsidR="008C573E" w:rsidRPr="008C573E" w:rsidRDefault="008C573E" w:rsidP="008C573E">
      <w:pPr>
        <w:pStyle w:val="Reference"/>
        <w:ind w:left="360" w:hanging="360"/>
        <w:rPr>
          <w:rFonts w:eastAsia="微软雅黑"/>
          <w:szCs w:val="24"/>
          <w:lang w:val="en-GB"/>
        </w:rPr>
      </w:pPr>
      <w:r w:rsidRPr="008C573E">
        <w:rPr>
          <w:rFonts w:eastAsia="微软雅黑"/>
          <w:szCs w:val="24"/>
          <w:lang w:val="en-GB"/>
        </w:rPr>
        <w:t xml:space="preserve">[7] Shah N, Feng X, </w:t>
      </w:r>
      <w:proofErr w:type="spellStart"/>
      <w:r w:rsidRPr="008C573E">
        <w:rPr>
          <w:rFonts w:eastAsia="微软雅黑"/>
          <w:szCs w:val="24"/>
          <w:lang w:val="en-GB"/>
        </w:rPr>
        <w:t>Lankerovich</w:t>
      </w:r>
      <w:proofErr w:type="spellEnd"/>
      <w:r w:rsidRPr="008C573E">
        <w:rPr>
          <w:rFonts w:eastAsia="微软雅黑"/>
          <w:szCs w:val="24"/>
          <w:lang w:val="en-GB"/>
        </w:rPr>
        <w:t xml:space="preserve"> M, </w:t>
      </w:r>
      <w:proofErr w:type="spellStart"/>
      <w:r w:rsidRPr="008C573E">
        <w:rPr>
          <w:rFonts w:eastAsia="微软雅黑"/>
          <w:szCs w:val="24"/>
          <w:lang w:val="en-GB"/>
        </w:rPr>
        <w:t>Puchalski</w:t>
      </w:r>
      <w:proofErr w:type="spellEnd"/>
      <w:r w:rsidRPr="008C573E">
        <w:rPr>
          <w:rFonts w:eastAsia="微软雅黑"/>
          <w:szCs w:val="24"/>
          <w:lang w:val="en-GB"/>
        </w:rPr>
        <w:t xml:space="preserve"> RB, Keogh B. Data from Ivy Glioblastoma Atlas Project (</w:t>
      </w:r>
      <w:proofErr w:type="spellStart"/>
      <w:r w:rsidRPr="008C573E">
        <w:rPr>
          <w:rFonts w:eastAsia="微软雅黑"/>
          <w:szCs w:val="24"/>
          <w:lang w:val="en-GB"/>
        </w:rPr>
        <w:t>IvyGAP</w:t>
      </w:r>
      <w:proofErr w:type="spellEnd"/>
      <w:r w:rsidRPr="008C573E">
        <w:rPr>
          <w:rFonts w:eastAsia="微软雅黑"/>
          <w:szCs w:val="24"/>
          <w:lang w:val="en-GB"/>
        </w:rPr>
        <w:t xml:space="preserve">) [Data set] The Cancer Imaging Archive. 2016. </w:t>
      </w:r>
    </w:p>
    <w:p w:rsidR="008C573E" w:rsidRPr="008C573E" w:rsidRDefault="008C573E" w:rsidP="008C573E">
      <w:pPr>
        <w:pStyle w:val="Reference"/>
        <w:ind w:left="360" w:hanging="360"/>
        <w:rPr>
          <w:rFonts w:eastAsia="微软雅黑"/>
          <w:szCs w:val="24"/>
          <w:lang w:val="en-GB"/>
        </w:rPr>
      </w:pPr>
      <w:r w:rsidRPr="008C573E">
        <w:rPr>
          <w:rFonts w:eastAsia="微软雅黑"/>
          <w:szCs w:val="24"/>
          <w:lang w:val="en-GB"/>
        </w:rPr>
        <w:t xml:space="preserve">[8] Calabrese E, Villanueva-Meyer J, </w:t>
      </w:r>
      <w:proofErr w:type="spellStart"/>
      <w:r w:rsidRPr="008C573E">
        <w:rPr>
          <w:rFonts w:eastAsia="微软雅黑"/>
          <w:szCs w:val="24"/>
          <w:lang w:val="en-GB"/>
        </w:rPr>
        <w:t>Rudie</w:t>
      </w:r>
      <w:proofErr w:type="spellEnd"/>
      <w:r w:rsidRPr="008C573E">
        <w:rPr>
          <w:rFonts w:eastAsia="微软雅黑"/>
          <w:szCs w:val="24"/>
          <w:lang w:val="en-GB"/>
        </w:rPr>
        <w:t xml:space="preserve"> J, </w:t>
      </w:r>
      <w:proofErr w:type="spellStart"/>
      <w:r w:rsidRPr="008C573E">
        <w:rPr>
          <w:rFonts w:eastAsia="微软雅黑"/>
          <w:szCs w:val="24"/>
          <w:lang w:val="en-GB"/>
        </w:rPr>
        <w:t>Rauschecker</w:t>
      </w:r>
      <w:proofErr w:type="spellEnd"/>
      <w:r w:rsidRPr="008C573E">
        <w:rPr>
          <w:rFonts w:eastAsia="微软雅黑"/>
          <w:szCs w:val="24"/>
          <w:lang w:val="en-GB"/>
        </w:rPr>
        <w:t xml:space="preserve"> A, </w:t>
      </w:r>
      <w:proofErr w:type="spellStart"/>
      <w:r w:rsidRPr="008C573E">
        <w:rPr>
          <w:rFonts w:eastAsia="微软雅黑"/>
          <w:szCs w:val="24"/>
          <w:lang w:val="en-GB"/>
        </w:rPr>
        <w:t>Baid</w:t>
      </w:r>
      <w:proofErr w:type="spellEnd"/>
      <w:r w:rsidRPr="008C573E">
        <w:rPr>
          <w:rFonts w:eastAsia="微软雅黑"/>
          <w:szCs w:val="24"/>
          <w:lang w:val="en-GB"/>
        </w:rPr>
        <w:t xml:space="preserve"> U, </w:t>
      </w:r>
      <w:proofErr w:type="spellStart"/>
      <w:r w:rsidRPr="008C573E">
        <w:rPr>
          <w:rFonts w:eastAsia="微软雅黑"/>
          <w:szCs w:val="24"/>
          <w:lang w:val="en-GB"/>
        </w:rPr>
        <w:t>Bakas</w:t>
      </w:r>
      <w:proofErr w:type="spellEnd"/>
      <w:r w:rsidRPr="008C573E">
        <w:rPr>
          <w:rFonts w:eastAsia="微软雅黑"/>
          <w:szCs w:val="24"/>
          <w:lang w:val="en-GB"/>
        </w:rPr>
        <w:t xml:space="preserve"> S, et al. The University of California San Francisco Preoperative Diffuse Glioma MRI (UCSF-PDGM) (Version 4) [Dataset] The Cancer Imaging Archive. 2022. </w:t>
      </w:r>
    </w:p>
    <w:p w:rsidR="008C573E" w:rsidRPr="008C573E" w:rsidRDefault="008C573E" w:rsidP="008C573E">
      <w:pPr>
        <w:pStyle w:val="Reference"/>
        <w:ind w:left="360" w:hanging="360"/>
      </w:pPr>
      <w:r w:rsidRPr="008C573E">
        <w:t xml:space="preserve"> </w:t>
      </w:r>
      <w:r w:rsidRPr="008C573E">
        <w:t>[9] Lin CH, Chi CY, Chen L, Miller DJ, Wang Y. Detection of Sources in Non-Negative Blind Source Separation by Minimum Description Length Criterion. IEEE Transactions on Neural Networks and Learning Systems. 2018; 29: 4022–4037. https://doi.org/10.1109/TNNLS.2017.2749279.</w:t>
      </w:r>
    </w:p>
    <w:p w:rsidR="008C573E" w:rsidRPr="008C573E" w:rsidRDefault="008C573E" w:rsidP="008C573E">
      <w:pPr>
        <w:ind w:firstLine="420"/>
        <w:rPr>
          <w:rFonts w:eastAsiaTheme="minorEastAsia" w:hint="eastAsia"/>
        </w:rPr>
      </w:pPr>
    </w:p>
    <w:sectPr w:rsidR="008C573E" w:rsidRPr="008C573E" w:rsidSect="008C573E">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851" w:header="284" w:footer="1134" w:gutter="0"/>
      <w:cols w:space="425"/>
      <w:docGrid w:type="lines" w:linePitch="3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FB2" w:rsidRDefault="00916FB2" w:rsidP="00F60E87">
      <w:pPr>
        <w:ind w:firstLine="420"/>
      </w:pPr>
      <w:r>
        <w:separator/>
      </w:r>
    </w:p>
  </w:endnote>
  <w:endnote w:type="continuationSeparator" w:id="0">
    <w:p w:rsidR="00916FB2" w:rsidRDefault="00916FB2" w:rsidP="00F60E87">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NimbusRomNo9L">
    <w:altName w:val="Times New Roman"/>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E87" w:rsidRDefault="00F60E87">
    <w:pPr>
      <w:pStyle w:val="a6"/>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E87" w:rsidRDefault="00F60E87">
    <w:pPr>
      <w:pStyle w:val="a6"/>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E87" w:rsidRDefault="00F60E87">
    <w:pPr>
      <w:pStyle w:val="a6"/>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FB2" w:rsidRDefault="00916FB2" w:rsidP="00F60E87">
      <w:pPr>
        <w:ind w:firstLine="420"/>
      </w:pPr>
      <w:r>
        <w:separator/>
      </w:r>
    </w:p>
  </w:footnote>
  <w:footnote w:type="continuationSeparator" w:id="0">
    <w:p w:rsidR="00916FB2" w:rsidRDefault="00916FB2" w:rsidP="00F60E87">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E87" w:rsidRDefault="00F60E87">
    <w:pPr>
      <w:pStyle w:val="a4"/>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E87" w:rsidRDefault="00F60E87" w:rsidP="00F60E87">
    <w:pPr>
      <w:pStyle w:val="a4"/>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E87" w:rsidRDefault="00F60E87">
    <w:pPr>
      <w:pStyle w:val="a4"/>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468F5"/>
    <w:multiLevelType w:val="hybridMultilevel"/>
    <w:tmpl w:val="658299A2"/>
    <w:lvl w:ilvl="0" w:tplc="CE24E69A">
      <w:start w:val="1"/>
      <w:numFmt w:val="bullet"/>
      <w:lvlRestart w:val="0"/>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61A69"/>
    <w:multiLevelType w:val="multilevel"/>
    <w:tmpl w:val="B7664590"/>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7B2173DC"/>
    <w:multiLevelType w:val="hybridMultilevel"/>
    <w:tmpl w:val="184EDD5C"/>
    <w:lvl w:ilvl="0" w:tplc="6C4ADA66">
      <w:start w:val="1"/>
      <w:numFmt w:val="decimal"/>
      <w:lvlRestart w:val="0"/>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HorizontalSpacing w:val="105"/>
  <w:drawingGridVerticalSpacing w:val="182"/>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5F3"/>
    <w:rsid w:val="001B4B87"/>
    <w:rsid w:val="003305F3"/>
    <w:rsid w:val="00571281"/>
    <w:rsid w:val="005C2315"/>
    <w:rsid w:val="0066128C"/>
    <w:rsid w:val="00701096"/>
    <w:rsid w:val="007863C5"/>
    <w:rsid w:val="0080688F"/>
    <w:rsid w:val="00825ADE"/>
    <w:rsid w:val="008C573E"/>
    <w:rsid w:val="00916FB2"/>
    <w:rsid w:val="00A73E39"/>
    <w:rsid w:val="00A74568"/>
    <w:rsid w:val="00B41233"/>
    <w:rsid w:val="00B645DC"/>
    <w:rsid w:val="00B81A73"/>
    <w:rsid w:val="00C92D0C"/>
    <w:rsid w:val="00DB5C28"/>
    <w:rsid w:val="00E12072"/>
    <w:rsid w:val="00F60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DB4AA"/>
  <w15:chartTrackingRefBased/>
  <w15:docId w15:val="{97525FED-B295-46DC-9E33-131D900BD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22"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E87"/>
    <w:pPr>
      <w:widowControl w:val="0"/>
      <w:ind w:firstLineChars="200" w:firstLine="200"/>
      <w:jc w:val="both"/>
    </w:pPr>
    <w:rPr>
      <w:rFonts w:ascii="Times New Roman" w:eastAsia="Times New Roman" w:hAnsi="Times New Roman" w:cs="Times New Roman"/>
      <w:szCs w:val="21"/>
    </w:rPr>
  </w:style>
  <w:style w:type="paragraph" w:styleId="1">
    <w:name w:val="heading 1"/>
    <w:aliases w:val="Heading level 1"/>
    <w:basedOn w:val="a"/>
    <w:next w:val="a"/>
    <w:link w:val="10"/>
    <w:uiPriority w:val="9"/>
    <w:qFormat/>
    <w:rsid w:val="00701096"/>
    <w:pPr>
      <w:keepNext/>
      <w:keepLines/>
      <w:widowControl/>
      <w:adjustRightInd w:val="0"/>
      <w:snapToGrid w:val="0"/>
      <w:spacing w:before="360" w:after="360"/>
      <w:ind w:firstLineChars="0" w:firstLine="0"/>
      <w:outlineLvl w:val="0"/>
    </w:pPr>
    <w:rPr>
      <w:b/>
      <w:bCs/>
      <w:noProof/>
      <w:color w:val="000000"/>
      <w:kern w:val="44"/>
      <w:sz w:val="24"/>
      <w:szCs w:val="24"/>
    </w:rPr>
  </w:style>
  <w:style w:type="paragraph" w:styleId="2">
    <w:name w:val="heading 2"/>
    <w:aliases w:val="Heading level 2"/>
    <w:basedOn w:val="a"/>
    <w:next w:val="a"/>
    <w:link w:val="20"/>
    <w:uiPriority w:val="9"/>
    <w:qFormat/>
    <w:rsid w:val="00701096"/>
    <w:pPr>
      <w:keepNext/>
      <w:keepLines/>
      <w:widowControl/>
      <w:adjustRightInd w:val="0"/>
      <w:snapToGrid w:val="0"/>
      <w:spacing w:before="240" w:after="240"/>
      <w:ind w:firstLineChars="0" w:firstLine="0"/>
      <w:outlineLvl w:val="1"/>
    </w:pPr>
    <w:rPr>
      <w:b/>
      <w:bCs/>
      <w:i/>
      <w:noProof/>
      <w:color w:val="000000"/>
      <w:kern w:val="0"/>
    </w:rPr>
  </w:style>
  <w:style w:type="paragraph" w:styleId="3">
    <w:name w:val="heading 3"/>
    <w:aliases w:val="Heading level 3"/>
    <w:basedOn w:val="a"/>
    <w:next w:val="a"/>
    <w:link w:val="30"/>
    <w:uiPriority w:val="9"/>
    <w:qFormat/>
    <w:rsid w:val="00701096"/>
    <w:pPr>
      <w:keepNext/>
      <w:keepLines/>
      <w:widowControl/>
      <w:adjustRightInd w:val="0"/>
      <w:snapToGrid w:val="0"/>
      <w:spacing w:before="160" w:after="160"/>
      <w:ind w:firstLineChars="0" w:firstLine="0"/>
      <w:outlineLvl w:val="2"/>
    </w:pPr>
    <w:rPr>
      <w:bCs/>
      <w:i/>
      <w:noProof/>
      <w:color w:val="000000"/>
      <w:kern w:val="0"/>
    </w:rPr>
  </w:style>
  <w:style w:type="paragraph" w:styleId="4">
    <w:name w:val="heading 4"/>
    <w:basedOn w:val="a"/>
    <w:next w:val="a"/>
    <w:link w:val="40"/>
    <w:uiPriority w:val="9"/>
    <w:qFormat/>
    <w:rsid w:val="00B81A73"/>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66128C"/>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B81A73"/>
    <w:pPr>
      <w:keepNext/>
      <w:keepLines/>
      <w:numPr>
        <w:ilvl w:val="5"/>
        <w:numId w:val="12"/>
      </w:numPr>
      <w:spacing w:before="240" w:after="64" w:line="320" w:lineRule="auto"/>
      <w:ind w:firstLineChars="0" w:firstLine="0"/>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B81A73"/>
    <w:pPr>
      <w:keepNext/>
      <w:keepLines/>
      <w:numPr>
        <w:ilvl w:val="6"/>
        <w:numId w:val="12"/>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B81A73"/>
    <w:pPr>
      <w:keepNext/>
      <w:keepLines/>
      <w:numPr>
        <w:ilvl w:val="7"/>
        <w:numId w:val="12"/>
      </w:numPr>
      <w:spacing w:before="240" w:after="64" w:line="320" w:lineRule="auto"/>
      <w:ind w:firstLineChars="0" w:firstLine="0"/>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B81A73"/>
    <w:pPr>
      <w:keepNext/>
      <w:keepLines/>
      <w:numPr>
        <w:ilvl w:val="8"/>
        <w:numId w:val="12"/>
      </w:numPr>
      <w:spacing w:before="240" w:after="64" w:line="320" w:lineRule="auto"/>
      <w:ind w:firstLineChars="0" w:firstLine="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ing level 1 字符"/>
    <w:basedOn w:val="a0"/>
    <w:link w:val="1"/>
    <w:uiPriority w:val="9"/>
    <w:rsid w:val="00701096"/>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9"/>
    <w:rsid w:val="00701096"/>
    <w:rPr>
      <w:rFonts w:ascii="Times New Roman" w:eastAsia="Times New Roman" w:hAnsi="Times New Roman" w:cs="Times New Roman"/>
      <w:b/>
      <w:bCs/>
      <w:i/>
      <w:noProof/>
      <w:color w:val="000000"/>
      <w:kern w:val="0"/>
      <w:szCs w:val="21"/>
    </w:rPr>
  </w:style>
  <w:style w:type="character" w:customStyle="1" w:styleId="30">
    <w:name w:val="标题 3 字符"/>
    <w:aliases w:val="Heading level 3 字符"/>
    <w:basedOn w:val="a0"/>
    <w:link w:val="3"/>
    <w:uiPriority w:val="9"/>
    <w:rsid w:val="00701096"/>
    <w:rPr>
      <w:rFonts w:ascii="Times New Roman" w:eastAsia="Times New Roman" w:hAnsi="Times New Roman" w:cs="Times New Roman"/>
      <w:bCs/>
      <w:i/>
      <w:noProof/>
      <w:color w:val="000000"/>
      <w:kern w:val="0"/>
      <w:szCs w:val="21"/>
    </w:rPr>
  </w:style>
  <w:style w:type="character" w:customStyle="1" w:styleId="40">
    <w:name w:val="标题 4 字符"/>
    <w:link w:val="4"/>
    <w:uiPriority w:val="9"/>
    <w:rsid w:val="00B81A73"/>
    <w:rPr>
      <w:rFonts w:ascii="Calibri Light" w:eastAsia="NimbusRomNo9L" w:hAnsi="Calibri Light" w:cs="NimbusRomNo9L"/>
      <w:b/>
      <w:bCs/>
      <w:kern w:val="0"/>
      <w:sz w:val="28"/>
      <w:szCs w:val="28"/>
    </w:rPr>
  </w:style>
  <w:style w:type="character" w:customStyle="1" w:styleId="50">
    <w:name w:val="标题 5 字符"/>
    <w:link w:val="5"/>
    <w:uiPriority w:val="9"/>
    <w:rsid w:val="0066128C"/>
    <w:rPr>
      <w:rFonts w:ascii="Times New Roman" w:eastAsia="Times New Roman" w:hAnsi="Times New Roman" w:cs="Times New Roman"/>
      <w:b/>
      <w:bCs/>
      <w:sz w:val="28"/>
      <w:szCs w:val="28"/>
    </w:rPr>
  </w:style>
  <w:style w:type="character" w:customStyle="1" w:styleId="60">
    <w:name w:val="标题 6 字符"/>
    <w:basedOn w:val="a0"/>
    <w:link w:val="6"/>
    <w:uiPriority w:val="9"/>
    <w:rsid w:val="00B81A73"/>
    <w:rPr>
      <w:rFonts w:asciiTheme="majorHAnsi" w:eastAsiaTheme="majorEastAsia" w:hAnsiTheme="majorHAnsi" w:cstheme="majorBidi"/>
      <w:b/>
      <w:bCs/>
      <w:sz w:val="24"/>
      <w:szCs w:val="24"/>
    </w:rPr>
  </w:style>
  <w:style w:type="character" w:customStyle="1" w:styleId="70">
    <w:name w:val="标题 7 字符"/>
    <w:basedOn w:val="a0"/>
    <w:link w:val="7"/>
    <w:uiPriority w:val="9"/>
    <w:rsid w:val="00B81A73"/>
    <w:rPr>
      <w:rFonts w:ascii="Times New Roman" w:eastAsia="Times New Roman" w:hAnsi="Times New Roman" w:cs="Times New Roman"/>
      <w:b/>
      <w:bCs/>
      <w:sz w:val="24"/>
      <w:szCs w:val="24"/>
    </w:rPr>
  </w:style>
  <w:style w:type="character" w:customStyle="1" w:styleId="80">
    <w:name w:val="标题 8 字符"/>
    <w:basedOn w:val="a0"/>
    <w:link w:val="8"/>
    <w:uiPriority w:val="9"/>
    <w:rsid w:val="00B81A73"/>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B81A73"/>
    <w:rPr>
      <w:rFonts w:asciiTheme="majorHAnsi" w:eastAsiaTheme="majorEastAsia" w:hAnsiTheme="majorHAnsi" w:cstheme="majorBidi"/>
      <w:szCs w:val="21"/>
    </w:rPr>
  </w:style>
  <w:style w:type="paragraph" w:customStyle="1" w:styleId="Abstract">
    <w:name w:val="Abstract"/>
    <w:next w:val="a"/>
    <w:uiPriority w:val="5"/>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4"/>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701096"/>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rticletype">
    <w:name w:val="Article type"/>
    <w:next w:val="a"/>
    <w:qFormat/>
    <w:rsid w:val="00701096"/>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uthornames">
    <w:name w:val="Authornames"/>
    <w:next w:val="a"/>
    <w:uiPriority w:val="2"/>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701096"/>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ullet">
    <w:name w:val="Bullet"/>
    <w:uiPriority w:val="16"/>
    <w:qFormat/>
    <w:rsid w:val="00A73E39"/>
    <w:pPr>
      <w:adjustRightInd w:val="0"/>
      <w:snapToGrid w:val="0"/>
      <w:spacing w:before="40" w:after="40"/>
      <w:ind w:left="3033" w:hangingChars="200" w:hanging="200"/>
      <w:jc w:val="both"/>
    </w:pPr>
    <w:rPr>
      <w:rFonts w:ascii="Times New Roman" w:eastAsia="Times New Roman" w:hAnsi="Times New Roman" w:cs="Times New Roman"/>
      <w:color w:val="000000"/>
      <w:kern w:val="0"/>
      <w:szCs w:val="21"/>
      <w:lang w:eastAsia="de-DE" w:bidi="en-US"/>
    </w:rPr>
  </w:style>
  <w:style w:type="paragraph" w:customStyle="1" w:styleId="E-mail">
    <w:name w:val="E-mail"/>
    <w:link w:val="E-mail0"/>
    <w:uiPriority w:val="4"/>
    <w:qFormat/>
    <w:rsid w:val="00701096"/>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4"/>
    <w:rsid w:val="00701096"/>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701096"/>
    <w:pPr>
      <w:adjustRightInd w:val="0"/>
      <w:snapToGrid w:val="0"/>
      <w:spacing w:before="60" w:after="60"/>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5"/>
    <w:qFormat/>
    <w:rsid w:val="00701096"/>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4"/>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Figuretitle">
    <w:name w:val="Figure title"/>
    <w:uiPriority w:val="13"/>
    <w:rsid w:val="00701096"/>
    <w:pPr>
      <w:adjustRightInd w:val="0"/>
      <w:snapToGrid w:val="0"/>
      <w:spacing w:after="100" w:afterAutospacing="1"/>
      <w:jc w:val="center"/>
    </w:pPr>
    <w:rPr>
      <w:rFonts w:ascii="Times New Roman" w:eastAsia="Times New Roman" w:hAnsi="Times New Roman" w:cs="Times New Roman"/>
      <w:b/>
      <w:noProof/>
      <w:color w:val="000000"/>
      <w:kern w:val="0"/>
      <w:szCs w:val="21"/>
      <w:lang w:bidi="en-US"/>
    </w:rPr>
  </w:style>
  <w:style w:type="paragraph" w:customStyle="1" w:styleId="Keywords">
    <w:name w:val="Keywords"/>
    <w:next w:val="a"/>
    <w:link w:val="Keywords0"/>
    <w:uiPriority w:val="6"/>
    <w:qFormat/>
    <w:rsid w:val="00701096"/>
    <w:pPr>
      <w:adjustRightInd w:val="0"/>
      <w:snapToGrid w:val="0"/>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6"/>
    <w:rsid w:val="00701096"/>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701096"/>
    <w:pPr>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701096"/>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1"/>
    <w:qFormat/>
    <w:rsid w:val="00701096"/>
    <w:pPr>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1"/>
    <w:qFormat/>
    <w:rsid w:val="00701096"/>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2"/>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0"/>
    <w:qFormat/>
    <w:rsid w:val="00701096"/>
    <w:pPr>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Text0">
    <w:name w:val="Text 字符"/>
    <w:basedOn w:val="a0"/>
    <w:link w:val="Text"/>
    <w:uiPriority w:val="10"/>
    <w:rsid w:val="00701096"/>
    <w:rPr>
      <w:rFonts w:ascii="Times New Roman" w:eastAsia="Times New Roman" w:hAnsi="Times New Roman" w:cs="Times New Roman"/>
      <w:snapToGrid w:val="0"/>
      <w:color w:val="000000"/>
      <w:kern w:val="0"/>
      <w:szCs w:val="28"/>
      <w:lang w:eastAsia="de-DE" w:bidi="en-US"/>
    </w:rPr>
  </w:style>
  <w:style w:type="character" w:styleId="a3">
    <w:name w:val="line number"/>
    <w:aliases w:val="IMR-Line numbers"/>
    <w:uiPriority w:val="22"/>
    <w:semiHidden/>
    <w:rsid w:val="005C2315"/>
    <w:rPr>
      <w:rFonts w:ascii="Times New Roman" w:eastAsia="Times New Roman" w:hAnsi="Times New Roman" w:cs="Times New Roman"/>
      <w:sz w:val="18"/>
      <w:szCs w:val="18"/>
    </w:rPr>
  </w:style>
  <w:style w:type="paragraph" w:styleId="a4">
    <w:name w:val="header"/>
    <w:basedOn w:val="a"/>
    <w:link w:val="a5"/>
    <w:uiPriority w:val="99"/>
    <w:unhideWhenUsed/>
    <w:rsid w:val="00F60E8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60E87"/>
    <w:rPr>
      <w:rFonts w:ascii="Times New Roman" w:eastAsia="Times New Roman" w:hAnsi="Times New Roman" w:cs="Times New Roman"/>
      <w:sz w:val="18"/>
      <w:szCs w:val="18"/>
    </w:rPr>
  </w:style>
  <w:style w:type="paragraph" w:styleId="a6">
    <w:name w:val="footer"/>
    <w:basedOn w:val="a"/>
    <w:link w:val="a7"/>
    <w:uiPriority w:val="99"/>
    <w:unhideWhenUsed/>
    <w:rsid w:val="00F60E87"/>
    <w:pPr>
      <w:tabs>
        <w:tab w:val="center" w:pos="4153"/>
        <w:tab w:val="right" w:pos="8306"/>
      </w:tabs>
      <w:snapToGrid w:val="0"/>
      <w:jc w:val="left"/>
    </w:pPr>
    <w:rPr>
      <w:sz w:val="18"/>
      <w:szCs w:val="18"/>
    </w:rPr>
  </w:style>
  <w:style w:type="character" w:customStyle="1" w:styleId="a7">
    <w:name w:val="页脚 字符"/>
    <w:basedOn w:val="a0"/>
    <w:link w:val="a6"/>
    <w:uiPriority w:val="99"/>
    <w:rsid w:val="00F60E87"/>
    <w:rPr>
      <w:rFonts w:ascii="Times New Roman" w:eastAsia="Times New Roman" w:hAnsi="Times New Roman" w:cs="Times New Roman"/>
      <w:sz w:val="18"/>
      <w:szCs w:val="18"/>
    </w:rPr>
  </w:style>
  <w:style w:type="paragraph" w:customStyle="1" w:styleId="a8">
    <w:name w:val="致谢部分"/>
    <w:basedOn w:val="a9"/>
    <w:link w:val="aa"/>
    <w:semiHidden/>
    <w:qFormat/>
    <w:rsid w:val="00F60E87"/>
    <w:pPr>
      <w:autoSpaceDE w:val="0"/>
      <w:autoSpaceDN w:val="0"/>
      <w:adjustRightInd w:val="0"/>
      <w:snapToGrid w:val="0"/>
      <w:spacing w:before="240" w:after="240" w:line="288" w:lineRule="auto"/>
      <w:ind w:firstLineChars="0" w:firstLine="0"/>
    </w:pPr>
    <w:rPr>
      <w:b/>
      <w:sz w:val="24"/>
      <w:szCs w:val="24"/>
    </w:rPr>
  </w:style>
  <w:style w:type="character" w:customStyle="1" w:styleId="aa">
    <w:name w:val="致谢部分 字符"/>
    <w:link w:val="a8"/>
    <w:semiHidden/>
    <w:qFormat/>
    <w:rsid w:val="00F60E87"/>
    <w:rPr>
      <w:rFonts w:ascii="Times New Roman" w:eastAsia="Times New Roman" w:hAnsi="Times New Roman" w:cs="Times New Roman"/>
      <w:b/>
      <w:sz w:val="24"/>
      <w:szCs w:val="24"/>
    </w:rPr>
  </w:style>
  <w:style w:type="paragraph" w:styleId="a9">
    <w:name w:val="Body Text"/>
    <w:basedOn w:val="a"/>
    <w:link w:val="ab"/>
    <w:uiPriority w:val="1"/>
    <w:semiHidden/>
    <w:unhideWhenUsed/>
    <w:qFormat/>
    <w:rsid w:val="00F60E87"/>
    <w:pPr>
      <w:spacing w:after="120"/>
    </w:pPr>
  </w:style>
  <w:style w:type="character" w:customStyle="1" w:styleId="ab">
    <w:name w:val="正文文本 字符"/>
    <w:basedOn w:val="a0"/>
    <w:link w:val="a9"/>
    <w:uiPriority w:val="1"/>
    <w:semiHidden/>
    <w:rsid w:val="00F60E87"/>
    <w:rPr>
      <w:rFonts w:ascii="Times New Roman" w:eastAsia="Times New Roman" w:hAnsi="Times New Roman" w:cs="Times New Roman"/>
      <w:szCs w:val="21"/>
    </w:rPr>
  </w:style>
  <w:style w:type="paragraph" w:styleId="ac">
    <w:name w:val="Normal (Web)"/>
    <w:basedOn w:val="a"/>
    <w:uiPriority w:val="99"/>
    <w:semiHidden/>
    <w:unhideWhenUsed/>
    <w:rsid w:val="008C573E"/>
    <w:pPr>
      <w:widowControl/>
      <w:spacing w:before="100" w:beforeAutospacing="1" w:after="100" w:afterAutospacing="1"/>
      <w:ind w:firstLineChars="0" w:firstLine="0"/>
      <w:jc w:val="left"/>
    </w:pPr>
    <w:rPr>
      <w:rFonts w:ascii="宋体" w:eastAsia="宋体" w:hAnsi="宋体" w:cs="宋体"/>
      <w:kern w:val="0"/>
      <w:sz w:val="24"/>
      <w:szCs w:val="24"/>
    </w:rPr>
  </w:style>
  <w:style w:type="paragraph" w:customStyle="1" w:styleId="EndNoteBibliography">
    <w:name w:val="EndNote Bibliography"/>
    <w:basedOn w:val="a"/>
    <w:link w:val="EndNoteBibliography0"/>
    <w:semiHidden/>
    <w:qFormat/>
    <w:rsid w:val="008C573E"/>
    <w:rPr>
      <w:sz w:val="20"/>
    </w:rPr>
  </w:style>
  <w:style w:type="character" w:customStyle="1" w:styleId="EndNoteBibliography0">
    <w:name w:val="EndNote Bibliography 字符"/>
    <w:basedOn w:val="a0"/>
    <w:link w:val="EndNoteBibliography"/>
    <w:semiHidden/>
    <w:qFormat/>
    <w:rsid w:val="008C573E"/>
    <w:rPr>
      <w:rFonts w:ascii="Times New Roman" w:eastAsia="Times New Roman" w:hAnsi="Times New Roman" w:cs="Times New Roman"/>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38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985</Words>
  <Characters>5618</Characters>
  <Application>Microsoft Office Word</Application>
  <DocSecurity>0</DocSecurity>
  <Lines>46</Lines>
  <Paragraphs>13</Paragraphs>
  <ScaleCrop>false</ScaleCrop>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dc:creator>
  <cp:keywords/>
  <dc:description/>
  <cp:lastModifiedBy>cheryl</cp:lastModifiedBy>
  <cp:revision>3</cp:revision>
  <dcterms:created xsi:type="dcterms:W3CDTF">2025-02-27T07:10:00Z</dcterms:created>
  <dcterms:modified xsi:type="dcterms:W3CDTF">2025-02-27T07:20:00Z</dcterms:modified>
</cp:coreProperties>
</file>